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81" w:rsidRDefault="003D7881" w:rsidP="004C11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</w:p>
    <w:p w:rsidR="003D7881" w:rsidRPr="003D7881" w:rsidRDefault="003D7881" w:rsidP="003D78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Республикасы</w:t>
      </w:r>
      <w:proofErr w:type="spellEnd"/>
    </w:p>
    <w:p w:rsidR="003D7881" w:rsidRPr="003D7881" w:rsidRDefault="003D7881" w:rsidP="003D78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Старочукалинского</w:t>
      </w:r>
      <w:proofErr w:type="spellEnd"/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                            </w:t>
      </w: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Чү</w:t>
      </w:r>
      <w:proofErr w:type="gramStart"/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пр</w:t>
      </w:r>
      <w:proofErr w:type="gramEnd"/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әле    муни</w:t>
      </w: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</w:t>
      </w: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ипаль</w:t>
      </w:r>
    </w:p>
    <w:p w:rsidR="003D7881" w:rsidRPr="003D7881" w:rsidRDefault="003D7881" w:rsidP="003D78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Дрожжановского                                  </w:t>
      </w: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районы  </w:t>
      </w:r>
      <w:proofErr w:type="gramStart"/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Иске</w:t>
      </w:r>
      <w:proofErr w:type="gramEnd"/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 Чокалы</w:t>
      </w:r>
    </w:p>
    <w:p w:rsidR="003D7881" w:rsidRPr="003D7881" w:rsidRDefault="003D7881" w:rsidP="003D78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</w:t>
      </w: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авыл  җирлеге Башкарма</w:t>
      </w:r>
    </w:p>
    <w:p w:rsidR="003D7881" w:rsidRPr="003D7881" w:rsidRDefault="003D7881" w:rsidP="003D788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78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Республики Татарстан                                            комитеты </w:t>
      </w:r>
    </w:p>
    <w:p w:rsidR="003D7881" w:rsidRDefault="003D7881" w:rsidP="003D788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_____________________________________________________________________</w:t>
      </w:r>
    </w:p>
    <w:p w:rsidR="003D7881" w:rsidRDefault="003D7881" w:rsidP="004C11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</w:p>
    <w:p w:rsidR="004C11E0" w:rsidRDefault="004C11E0" w:rsidP="004C11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>
        <w:rPr>
          <w:lang w:val="tt-RU"/>
        </w:rPr>
        <w:t>с.Старые Чукалы</w:t>
      </w:r>
    </w:p>
    <w:p w:rsidR="004C11E0" w:rsidRDefault="004C11E0" w:rsidP="004C11E0">
      <w:pPr>
        <w:ind w:right="1275"/>
        <w:jc w:val="center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ПОСТАНОВЛЕНИЕ</w:t>
      </w:r>
    </w:p>
    <w:p w:rsidR="004C11E0" w:rsidRDefault="004C11E0" w:rsidP="004C11E0">
      <w:pPr>
        <w:ind w:right="5102"/>
        <w:jc w:val="center"/>
        <w:rPr>
          <w:bCs/>
          <w:sz w:val="28"/>
          <w:szCs w:val="28"/>
        </w:rPr>
      </w:pPr>
    </w:p>
    <w:p w:rsidR="004C11E0" w:rsidRPr="00770D79" w:rsidRDefault="00770D79" w:rsidP="004C11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0D79">
        <w:rPr>
          <w:rFonts w:ascii="Times New Roman" w:hAnsi="Times New Roman" w:cs="Times New Roman"/>
          <w:bCs/>
          <w:sz w:val="28"/>
          <w:szCs w:val="28"/>
        </w:rPr>
        <w:t>от 27 ноября</w:t>
      </w:r>
      <w:r w:rsidR="004C11E0" w:rsidRPr="00770D79">
        <w:rPr>
          <w:rFonts w:ascii="Times New Roman" w:hAnsi="Times New Roman" w:cs="Times New Roman"/>
          <w:bCs/>
          <w:sz w:val="28"/>
          <w:szCs w:val="28"/>
        </w:rPr>
        <w:t xml:space="preserve"> 2017г.                                 </w:t>
      </w:r>
      <w:r w:rsidRPr="00770D79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C11E0" w:rsidRPr="00770D79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 w:rsidRPr="00770D79">
        <w:rPr>
          <w:rFonts w:ascii="Times New Roman" w:hAnsi="Times New Roman" w:cs="Times New Roman"/>
          <w:bCs/>
          <w:sz w:val="28"/>
          <w:szCs w:val="28"/>
        </w:rPr>
        <w:t>13</w:t>
      </w: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zh-CN"/>
        </w:rPr>
        <w:t xml:space="preserve">«Об утверждении Программы комплексного  развития  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социальной </w:t>
      </w:r>
      <w:r>
        <w:rPr>
          <w:rFonts w:ascii="Times New Roman" w:eastAsia="Times New Roman" w:hAnsi="Times New Roman" w:cs="Times New Roman"/>
          <w:b/>
          <w:color w:val="FF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инфраструктуры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сельского поселения Дрожжановского муниципального района Республики Татарстан на 2017-2035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.»</w:t>
      </w:r>
    </w:p>
    <w:p w:rsidR="004C11E0" w:rsidRDefault="004C11E0" w:rsidP="004C11E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4C11E0" w:rsidRPr="00901E10" w:rsidRDefault="004C11E0" w:rsidP="004C11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06.10.2003г. </w:t>
      </w:r>
      <w:proofErr w:type="spellStart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bookmarkStart w:id="0" w:name="_GoBack"/>
      <w:bookmarkEnd w:id="0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01.10.2015 г. No1050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Pr="00444EC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Исполнительный комитет </w:t>
      </w:r>
      <w:proofErr w:type="spellStart"/>
      <w:r w:rsidRPr="00444EC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ПОСТАНОВЛЯЕТ: </w:t>
      </w: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Pr="004C11E0" w:rsidRDefault="004C11E0" w:rsidP="004C11E0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C11E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Утвердить Программу комплексного развития социальной инфраструктуры </w:t>
      </w:r>
      <w:proofErr w:type="spellStart"/>
      <w:r w:rsidRPr="004C11E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 w:rsidRPr="004C11E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 </w:t>
      </w:r>
      <w:r w:rsidRPr="004C11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4C11E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Республики Татарстан  на 2017-2035 гг.</w:t>
      </w:r>
    </w:p>
    <w:p w:rsidR="004C11E0" w:rsidRPr="00E463AD" w:rsidRDefault="004C11E0" w:rsidP="004C11E0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463A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Настоящее постановление опубликовать на официальном сайте Поселения и на официальном сайте </w:t>
      </w:r>
      <w:r w:rsidRPr="00E463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E463A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РТ в сети «Интернет».</w:t>
      </w:r>
    </w:p>
    <w:p w:rsidR="004C11E0" w:rsidRPr="00E463AD" w:rsidRDefault="004C11E0" w:rsidP="00E463AD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E463A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gramStart"/>
      <w:r w:rsidRPr="00E463A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Контроль за</w:t>
      </w:r>
      <w:proofErr w:type="gramEnd"/>
      <w:r w:rsidRPr="00E463A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4C11E0" w:rsidRDefault="004C11E0" w:rsidP="004C11E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4C11E0" w:rsidRDefault="004C11E0" w:rsidP="004C11E0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Глава   </w:t>
      </w:r>
      <w:proofErr w:type="spellStart"/>
      <w:r w:rsidRPr="00444EC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</w:t>
      </w:r>
    </w:p>
    <w:p w:rsidR="004C11E0" w:rsidRPr="00444EC2" w:rsidRDefault="004C11E0" w:rsidP="004C11E0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  </w:t>
      </w:r>
      <w:r w:rsidRPr="00444EC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РТ                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Р.Р.Низамутдинов</w:t>
      </w:r>
      <w:proofErr w:type="spellEnd"/>
    </w:p>
    <w:p w:rsidR="004C11E0" w:rsidRDefault="004C11E0" w:rsidP="004C11E0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lastRenderedPageBreak/>
        <w:t>Утверждена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Постановлением </w:t>
      </w:r>
    </w:p>
    <w:p w:rsidR="004C11E0" w:rsidRDefault="004C11E0" w:rsidP="004C11E0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Исполнительного комитета </w:t>
      </w:r>
    </w:p>
    <w:p w:rsidR="004C11E0" w:rsidRDefault="004C11E0" w:rsidP="004C11E0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proofErr w:type="spellStart"/>
      <w:r w:rsidRPr="00444EC2">
        <w:rPr>
          <w:rFonts w:ascii="Times New Roman" w:hAnsi="Times New Roman"/>
          <w:b/>
          <w:bCs/>
          <w:sz w:val="18"/>
          <w:szCs w:val="18"/>
          <w:shd w:val="clear" w:color="auto" w:fill="FFFFFF" w:themeFill="background1"/>
        </w:rPr>
        <w:t>Старочукалинского</w:t>
      </w:r>
      <w:proofErr w:type="spellEnd"/>
      <w:r w:rsidRPr="00444EC2">
        <w:rPr>
          <w:rFonts w:ascii="Times New Roman" w:hAnsi="Times New Roman"/>
          <w:b/>
          <w:bCs/>
          <w:sz w:val="18"/>
          <w:szCs w:val="18"/>
          <w:shd w:val="clear" w:color="auto" w:fill="FFFFFF" w:themeFill="background1"/>
        </w:rPr>
        <w:t xml:space="preserve"> с</w:t>
      </w:r>
      <w:r>
        <w:rPr>
          <w:rFonts w:ascii="Times New Roman" w:hAnsi="Times New Roman"/>
          <w:b/>
          <w:bCs/>
          <w:sz w:val="18"/>
          <w:szCs w:val="18"/>
        </w:rPr>
        <w:t>ельского поселения</w:t>
      </w:r>
    </w:p>
    <w:p w:rsidR="004C11E0" w:rsidRDefault="004C11E0" w:rsidP="004C11E0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Дрожжановского муниципального района РТ</w:t>
      </w:r>
    </w:p>
    <w:p w:rsidR="004C11E0" w:rsidRDefault="004C11E0" w:rsidP="004C11E0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="00770D79">
        <w:rPr>
          <w:rFonts w:ascii="Times New Roman" w:hAnsi="Times New Roman"/>
          <w:b/>
          <w:bCs/>
          <w:sz w:val="18"/>
          <w:szCs w:val="18"/>
        </w:rPr>
        <w:t xml:space="preserve">13           </w:t>
      </w:r>
      <w:r>
        <w:rPr>
          <w:rFonts w:ascii="Times New Roman" w:hAnsi="Times New Roman"/>
          <w:b/>
          <w:bCs/>
          <w:sz w:val="18"/>
          <w:szCs w:val="18"/>
        </w:rPr>
        <w:t>от</w:t>
      </w:r>
      <w:r w:rsidR="00770D79">
        <w:rPr>
          <w:rFonts w:ascii="Times New Roman" w:hAnsi="Times New Roman"/>
          <w:b/>
          <w:bCs/>
          <w:sz w:val="18"/>
          <w:szCs w:val="18"/>
        </w:rPr>
        <w:t xml:space="preserve"> 27 ноября</w:t>
      </w:r>
      <w:r>
        <w:rPr>
          <w:rFonts w:ascii="Times New Roman" w:hAnsi="Times New Roman"/>
          <w:b/>
          <w:bCs/>
          <w:sz w:val="18"/>
          <w:szCs w:val="18"/>
        </w:rPr>
        <w:t xml:space="preserve">           2017г.</w:t>
      </w:r>
    </w:p>
    <w:p w:rsidR="004C11E0" w:rsidRDefault="004C11E0" w:rsidP="004C11E0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C11E0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4C11E0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 w:rsidRPr="0043275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ПРОГРАММА</w:t>
      </w: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 w:rsidRPr="0043275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КОМПЛЕКСНОГО РАЗВИТИЯ СОЦИАЛЬНОЙ ИНФРАСТРУКТУРЫ  </w:t>
      </w: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r w:rsidRPr="00444EC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shd w:val="clear" w:color="auto" w:fill="FFFFFF" w:themeFill="background1"/>
          <w:lang w:eastAsia="ja-JP" w:bidi="fa-IR"/>
        </w:rPr>
        <w:t xml:space="preserve">СТАРОЧУКАЛИНСКОГО </w:t>
      </w:r>
      <w:r w:rsidRPr="00444EC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shd w:val="clear" w:color="auto" w:fill="FFFFFF" w:themeFill="background1"/>
          <w:lang w:val="de-DE" w:eastAsia="ja-JP" w:bidi="fa-IR"/>
        </w:rPr>
        <w:t>СЕЛЬСКОГО</w:t>
      </w:r>
      <w:r w:rsidRPr="0043275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ПОСЕЛЕНИЯ </w:t>
      </w:r>
      <w:r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ДРОЖЖАНОВСКОГО </w:t>
      </w:r>
      <w:r w:rsidRPr="0043275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МУНИЦИПАЛЬНОГО РАЙОНА </w:t>
      </w:r>
      <w:r w:rsidRPr="0043275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РЕСПУБЛИКИ ТАТАРСТАН  </w:t>
      </w: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proofErr w:type="spellStart"/>
      <w:r w:rsidRPr="0043275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2017-2035</w:t>
      </w:r>
      <w:r w:rsidRPr="0043275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>гг.</w:t>
      </w:r>
    </w:p>
    <w:p w:rsidR="004C11E0" w:rsidRPr="002B7B32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Паспорт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</w:p>
    <w:tbl>
      <w:tblPr>
        <w:tblW w:w="9810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7149"/>
      </w:tblGrid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комплексного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развития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сельского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Дрожжановского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муниципального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РТ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2017-2035гг.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Обоснование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разработки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Федеральный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закон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06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октября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2003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года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№131-ФЗ «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общих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принципах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местного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самоуправления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Федерации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  <w:p w:rsidR="004C11E0" w:rsidRPr="00432756" w:rsidRDefault="004C11E0" w:rsidP="0087476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Генеральный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план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сельского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</w:p>
          <w:p w:rsidR="004C11E0" w:rsidRPr="00432756" w:rsidRDefault="004C11E0" w:rsidP="00313B2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Решение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="00313B2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29 декабря 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201</w:t>
            </w:r>
            <w:r w:rsidR="00313B2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года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№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313B2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20/1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 «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утверждении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Генерального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плана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сельского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поселения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Дрожжановского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муниципального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РТ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заказчика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Исполнительный комитет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Дрожжановского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Республики Татарстан</w:t>
            </w:r>
          </w:p>
          <w:p w:rsidR="004C11E0" w:rsidRPr="00432756" w:rsidRDefault="004C11E0" w:rsidP="0087476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422480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РТ,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Дрожжановский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район</w:t>
            </w:r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, </w:t>
            </w:r>
            <w:proofErr w:type="gramStart"/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Старые</w:t>
            </w:r>
            <w:proofErr w:type="gramEnd"/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 </w:t>
            </w:r>
            <w:proofErr w:type="spellStart"/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Чукалы</w:t>
            </w:r>
            <w:proofErr w:type="spellEnd"/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 ул. Коминтерна дом 21.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разработчика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Исполнительный комитет</w:t>
            </w:r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Дрожжановского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Республики Татарстан</w:t>
            </w:r>
          </w:p>
          <w:p w:rsidR="004C11E0" w:rsidRPr="002F4833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422480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РТ,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Дрожжановский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район</w:t>
            </w:r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, </w:t>
            </w:r>
            <w:proofErr w:type="gramStart"/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Старые</w:t>
            </w:r>
            <w:proofErr w:type="gramEnd"/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 </w:t>
            </w:r>
            <w:proofErr w:type="spellStart"/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Чукалы</w:t>
            </w:r>
            <w:proofErr w:type="spellEnd"/>
            <w:r w:rsidRPr="00444E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 ул. Коминтерна дом 21.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Цель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E7029A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F483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 определение  четкой  сбалансированной  перспективы развития  данной  инфраструктуры.  Улучшение  социально-экономического развития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F483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сельского поселения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Дрожжановского</w:t>
            </w:r>
            <w:r w:rsidRPr="002F483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РТ.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Задачи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Повышение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уровня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обеспеченности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населения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сельского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поселения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объектами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социальной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инфраструктуры;</w:t>
            </w:r>
          </w:p>
          <w:p w:rsidR="004C11E0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безопасность, качество </w:t>
            </w:r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и эффективность использования населением объектов социальной инфраструктуры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E7029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поселения;</w:t>
            </w:r>
          </w:p>
          <w:p w:rsidR="004C11E0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- сбалансированное, перспективное развитие социальной инфраструктуры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92078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, в соответствии с установленными потребностями в объектах социальной инфраструктуры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 сельского поселения;</w:t>
            </w:r>
          </w:p>
          <w:p w:rsidR="004C11E0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проектирования;</w:t>
            </w:r>
          </w:p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>- эффективность функционирования действующей социальной инфраструктуры.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Целевые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показатели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обеспеченности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населения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объектами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Рост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объемов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строительства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объектов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Сроки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этапы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Default="004C11E0" w:rsidP="0087476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Срок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2017-2035</w:t>
            </w: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год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ы.</w:t>
            </w:r>
          </w:p>
          <w:p w:rsidR="004C11E0" w:rsidRDefault="004C11E0" w:rsidP="0087476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BC129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этап – с 2017 по 2026 гг.</w:t>
            </w:r>
          </w:p>
          <w:p w:rsidR="004C11E0" w:rsidRPr="00BC129D" w:rsidRDefault="004C11E0" w:rsidP="0087476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II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этап – с 2027 по 2035 гг.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Объемы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источники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финансирования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Источники финансирования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-  Бюджет Республики Татарстан.</w:t>
            </w:r>
          </w:p>
        </w:tc>
      </w:tr>
      <w:tr w:rsidR="004C11E0" w:rsidRPr="00432756" w:rsidTr="00874763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Ожидаемые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E0" w:rsidRPr="00432756" w:rsidRDefault="004C11E0" w:rsidP="0087476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Обеспеченность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объектами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население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44EC2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Старочукалинского</w:t>
            </w:r>
            <w:proofErr w:type="spellEnd"/>
            <w:r w:rsidRPr="0092078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 w:themeFill="background1"/>
                <w:lang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сельского поселения согласно расчета перспективной численности. Удовлетворение спроса населения на услуги социальной инфраструктуры. </w:t>
            </w:r>
          </w:p>
        </w:tc>
      </w:tr>
    </w:tbl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4C11E0" w:rsidRPr="009A6CB6" w:rsidRDefault="004C11E0" w:rsidP="004C11E0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6C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Характеристика существующего состояния социальной инфраструктуры </w:t>
      </w:r>
      <w:proofErr w:type="spellStart"/>
      <w:r w:rsidRPr="005C31D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shd w:val="clear" w:color="auto" w:fill="FFFFFF"/>
          <w:lang w:eastAsia="zh-CN"/>
        </w:rPr>
        <w:t>Старочукалинского</w:t>
      </w:r>
      <w:proofErr w:type="spellEnd"/>
      <w:r w:rsidRPr="005C31D6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 w:themeFill="background1"/>
          <w:lang w:eastAsia="ja-JP" w:bidi="fa-IR"/>
        </w:rPr>
        <w:t xml:space="preserve"> </w:t>
      </w:r>
      <w:r w:rsidRPr="009A6C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сельского поселения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Дрожжановского</w:t>
      </w:r>
      <w:r w:rsidRPr="009A6C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муниципального района Республики Татарстан</w:t>
      </w: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C11E0" w:rsidRPr="001F465E" w:rsidRDefault="004C11E0" w:rsidP="004C11E0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465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Описание социально-экономического состояния поселения</w:t>
      </w:r>
      <w:r w:rsidRPr="001F465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EC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Старочукалинского</w:t>
      </w:r>
      <w:proofErr w:type="spellEnd"/>
      <w:r w:rsidRPr="00432756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Дрожжановского</w:t>
      </w:r>
      <w:r w:rsidRPr="00432756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района Республики Татарстан  </w:t>
      </w:r>
      <w:r w:rsidRPr="00432756">
        <w:rPr>
          <w:rFonts w:ascii="Times New Roman" w:hAnsi="Times New Roman" w:cs="Times New Roman"/>
          <w:sz w:val="24"/>
          <w:szCs w:val="24"/>
        </w:rPr>
        <w:t xml:space="preserve">включает: село </w:t>
      </w:r>
      <w:r>
        <w:rPr>
          <w:rFonts w:ascii="Times New Roman" w:hAnsi="Times New Roman" w:cs="Times New Roman"/>
          <w:sz w:val="24"/>
          <w:szCs w:val="24"/>
        </w:rPr>
        <w:t xml:space="preserve">Старые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 xml:space="preserve">Административный центр – село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Чукалы</w:t>
      </w:r>
      <w:proofErr w:type="spellEnd"/>
      <w:r w:rsidRPr="00432756">
        <w:rPr>
          <w:rFonts w:ascii="Times New Roman" w:hAnsi="Times New Roman" w:cs="Times New Roman"/>
          <w:sz w:val="24"/>
          <w:szCs w:val="24"/>
        </w:rPr>
        <w:t>.</w:t>
      </w:r>
    </w:p>
    <w:p w:rsidR="004C11E0" w:rsidRPr="00432756" w:rsidRDefault="004C11E0" w:rsidP="004C11E0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Численность населения 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5C31D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444EC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Старочукалинского</w:t>
      </w:r>
      <w:proofErr w:type="spellEnd"/>
      <w:r w:rsidRPr="0092078C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 w:themeFill="background1"/>
          <w:lang w:eastAsia="ja-JP" w:bidi="fa-IR"/>
        </w:rPr>
        <w:t xml:space="preserve"> 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поселения: </w:t>
      </w:r>
      <w:r w:rsidR="00E463AD">
        <w:rPr>
          <w:rFonts w:ascii="Times New Roman" w:eastAsia="Calibri" w:hAnsi="Times New Roman" w:cs="Times New Roman"/>
          <w:sz w:val="24"/>
          <w:szCs w:val="24"/>
        </w:rPr>
        <w:t>651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человек.  </w:t>
      </w:r>
    </w:p>
    <w:p w:rsidR="004C11E0" w:rsidRPr="00432756" w:rsidRDefault="004C11E0" w:rsidP="004C11E0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Расстояние от административного центра </w:t>
      </w:r>
      <w:proofErr w:type="spellStart"/>
      <w:r w:rsidR="00E463AD" w:rsidRPr="00444EC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Старочукалинского</w:t>
      </w:r>
      <w:proofErr w:type="spellEnd"/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районного центра 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E463AD">
        <w:rPr>
          <w:rFonts w:ascii="Times New Roman" w:eastAsia="Calibri" w:hAnsi="Times New Roman" w:cs="Times New Roman"/>
          <w:sz w:val="24"/>
          <w:szCs w:val="24"/>
        </w:rPr>
        <w:t>9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км, до республиканского центра (г. Казань) – </w:t>
      </w:r>
      <w:r w:rsidR="00E463AD">
        <w:rPr>
          <w:rFonts w:ascii="Times New Roman" w:eastAsia="Calibri" w:hAnsi="Times New Roman" w:cs="Times New Roman"/>
          <w:sz w:val="24"/>
          <w:szCs w:val="24"/>
        </w:rPr>
        <w:t>300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км.</w:t>
      </w:r>
    </w:p>
    <w:p w:rsidR="004C11E0" w:rsidRPr="00432756" w:rsidRDefault="004C11E0" w:rsidP="004C11E0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Общая площадь земель муниципального образования  - </w:t>
      </w:r>
      <w:r w:rsidR="00E463AD" w:rsidRPr="00E463AD">
        <w:rPr>
          <w:rFonts w:ascii="Times New Roman" w:hAnsi="Times New Roman" w:cs="Times New Roman"/>
          <w:sz w:val="24"/>
          <w:szCs w:val="24"/>
        </w:rPr>
        <w:t xml:space="preserve">3777,5 </w:t>
      </w:r>
      <w:r w:rsidR="00E463AD" w:rsidRPr="00E463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1E0" w:rsidRPr="00432756" w:rsidRDefault="004C11E0" w:rsidP="004C11E0">
      <w:pPr>
        <w:spacing w:after="200" w:line="6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eastAsia="Calibri" w:hAnsi="Times New Roman" w:cs="Times New Roman"/>
          <w:b/>
          <w:sz w:val="24"/>
          <w:szCs w:val="24"/>
          <w:u w:val="single"/>
        </w:rPr>
        <w:t>1.2.Технико-экономические параметры существующих объектов социальной инфраструктуры</w:t>
      </w:r>
      <w:r w:rsidRPr="0043275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11E0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>В сельском поселении находятся следующие учреждения и организации:</w:t>
      </w:r>
    </w:p>
    <w:p w:rsidR="004C11E0" w:rsidRPr="00432756" w:rsidRDefault="004C11E0" w:rsidP="004C11E0">
      <w:pPr>
        <w:pStyle w:val="a3"/>
        <w:spacing w:after="200" w:line="60" w:lineRule="atLeast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Учреждения образования: МБОУ </w:t>
      </w:r>
      <w:r w:rsidR="00E463A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463AD">
        <w:rPr>
          <w:rFonts w:ascii="Times New Roman" w:eastAsia="Calibri" w:hAnsi="Times New Roman" w:cs="Times New Roman"/>
          <w:sz w:val="24"/>
          <w:szCs w:val="24"/>
        </w:rPr>
        <w:t>Старочукалинская</w:t>
      </w:r>
      <w:proofErr w:type="spellEnd"/>
      <w:r w:rsidR="00E463AD">
        <w:rPr>
          <w:rFonts w:ascii="Times New Roman" w:eastAsia="Calibri" w:hAnsi="Times New Roman" w:cs="Times New Roman"/>
          <w:sz w:val="24"/>
          <w:szCs w:val="24"/>
        </w:rPr>
        <w:t xml:space="preserve"> ООШ» 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численность обучающихся - </w:t>
      </w:r>
      <w:r w:rsidR="003D7881">
        <w:rPr>
          <w:rFonts w:ascii="Times New Roman" w:eastAsia="Calibri" w:hAnsi="Times New Roman" w:cs="Times New Roman"/>
          <w:sz w:val="24"/>
          <w:szCs w:val="24"/>
        </w:rPr>
        <w:t>56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человека; </w:t>
      </w:r>
      <w:r w:rsidR="003D7881">
        <w:rPr>
          <w:rFonts w:ascii="Times New Roman" w:eastAsia="Calibri" w:hAnsi="Times New Roman" w:cs="Times New Roman"/>
          <w:sz w:val="24"/>
          <w:szCs w:val="24"/>
        </w:rPr>
        <w:t>МБДОУ «</w:t>
      </w:r>
      <w:proofErr w:type="spellStart"/>
      <w:r w:rsidR="003D7881">
        <w:rPr>
          <w:rFonts w:ascii="Times New Roman" w:eastAsia="Calibri" w:hAnsi="Times New Roman" w:cs="Times New Roman"/>
          <w:sz w:val="24"/>
          <w:szCs w:val="24"/>
        </w:rPr>
        <w:t>Старочукалинский</w:t>
      </w:r>
      <w:proofErr w:type="spellEnd"/>
      <w:r w:rsidR="003D7881">
        <w:rPr>
          <w:rFonts w:ascii="Times New Roman" w:eastAsia="Calibri" w:hAnsi="Times New Roman" w:cs="Times New Roman"/>
          <w:sz w:val="24"/>
          <w:szCs w:val="24"/>
        </w:rPr>
        <w:t xml:space="preserve"> детский сад» -11 детей</w:t>
      </w:r>
    </w:p>
    <w:p w:rsidR="004C11E0" w:rsidRDefault="004C11E0" w:rsidP="004C11E0">
      <w:pPr>
        <w:pStyle w:val="a3"/>
        <w:spacing w:after="200" w:line="60" w:lineRule="atLeast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ФАП- </w:t>
      </w:r>
      <w:r w:rsidR="00E463AD" w:rsidRPr="00E463A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1</w:t>
      </w:r>
      <w:r w:rsidRPr="00E463A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,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gramStart"/>
      <w:r w:rsidRPr="0043275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463AD">
        <w:rPr>
          <w:rFonts w:ascii="Times New Roman" w:eastAsia="Calibri" w:hAnsi="Times New Roman" w:cs="Times New Roman"/>
          <w:sz w:val="24"/>
          <w:szCs w:val="24"/>
        </w:rPr>
        <w:t xml:space="preserve">Старые </w:t>
      </w:r>
      <w:proofErr w:type="spellStart"/>
      <w:r w:rsidR="00E463AD">
        <w:rPr>
          <w:rFonts w:ascii="Times New Roman" w:eastAsia="Calibri" w:hAnsi="Times New Roman" w:cs="Times New Roman"/>
          <w:sz w:val="24"/>
          <w:szCs w:val="24"/>
        </w:rPr>
        <w:t>Чукалы</w:t>
      </w:r>
      <w:proofErr w:type="spellEnd"/>
      <w:r w:rsidR="00E463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11E0" w:rsidRDefault="004C11E0" w:rsidP="004C11E0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432756">
        <w:rPr>
          <w:rFonts w:ascii="Times New Roman" w:eastAsia="Calibri" w:hAnsi="Times New Roman" w:cs="Times New Roman"/>
          <w:sz w:val="24"/>
          <w:szCs w:val="24"/>
        </w:rPr>
        <w:t>Учреждения культурно - досугового типа: Число библиотек-</w:t>
      </w:r>
      <w:r w:rsidR="00E463AD">
        <w:rPr>
          <w:rFonts w:ascii="Times New Roman" w:eastAsia="Calibri" w:hAnsi="Times New Roman" w:cs="Times New Roman"/>
          <w:sz w:val="24"/>
          <w:szCs w:val="24"/>
        </w:rPr>
        <w:t>1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, СДК - </w:t>
      </w:r>
      <w:r w:rsidR="00E463AD">
        <w:rPr>
          <w:rFonts w:ascii="Times New Roman" w:eastAsia="Calibri" w:hAnsi="Times New Roman" w:cs="Times New Roman"/>
          <w:sz w:val="24"/>
          <w:szCs w:val="24"/>
        </w:rPr>
        <w:t>1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gramStart"/>
      <w:r w:rsidRPr="0043275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463AD">
        <w:rPr>
          <w:rFonts w:ascii="Times New Roman" w:eastAsia="Calibri" w:hAnsi="Times New Roman" w:cs="Times New Roman"/>
          <w:sz w:val="24"/>
          <w:szCs w:val="24"/>
        </w:rPr>
        <w:t xml:space="preserve">Старые </w:t>
      </w:r>
      <w:proofErr w:type="spellStart"/>
      <w:r w:rsidR="00E463AD">
        <w:rPr>
          <w:rFonts w:ascii="Times New Roman" w:eastAsia="Calibri" w:hAnsi="Times New Roman" w:cs="Times New Roman"/>
          <w:sz w:val="24"/>
          <w:szCs w:val="24"/>
        </w:rPr>
        <w:t>Чукалы</w:t>
      </w:r>
      <w:proofErr w:type="spellEnd"/>
      <w:r w:rsidR="00E46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eastAsia="Calibri" w:hAnsi="Times New Roman" w:cs="Times New Roman"/>
          <w:sz w:val="24"/>
          <w:szCs w:val="24"/>
        </w:rPr>
        <w:t>на 150 посадоч</w:t>
      </w:r>
      <w:r w:rsidR="00E463AD">
        <w:rPr>
          <w:rFonts w:ascii="Times New Roman" w:eastAsia="Calibri" w:hAnsi="Times New Roman" w:cs="Times New Roman"/>
          <w:sz w:val="24"/>
          <w:szCs w:val="24"/>
        </w:rPr>
        <w:t>ных мест.</w:t>
      </w:r>
      <w:r w:rsidRPr="004327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11E0" w:rsidRDefault="004C11E0" w:rsidP="004C11E0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. Спортивных сооружений – </w:t>
      </w:r>
      <w:r w:rsidR="00E463AD">
        <w:rPr>
          <w:rFonts w:ascii="Times New Roman" w:eastAsia="Calibri" w:hAnsi="Times New Roman" w:cs="Times New Roman"/>
          <w:sz w:val="24"/>
          <w:szCs w:val="24"/>
        </w:rPr>
        <w:t>0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. Универсальная спортивная площадка в с. 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2756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., и спортзал </w:t>
      </w:r>
      <w:proofErr w:type="gramStart"/>
      <w:r w:rsidRPr="0043275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с.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 площадью 160 </w:t>
      </w:r>
      <w:proofErr w:type="spellStart"/>
      <w:r w:rsidRPr="00432756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11E0" w:rsidRDefault="004C11E0" w:rsidP="004C11E0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Отделения почтовой </w:t>
      </w:r>
      <w:r w:rsidRPr="00E463A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связи </w:t>
      </w:r>
      <w:r w:rsidR="00E463AD" w:rsidRPr="00E463A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1</w:t>
      </w:r>
      <w:r w:rsidRPr="00E463A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, филиал Сбербанка России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11E0" w:rsidRPr="00432756" w:rsidRDefault="004C11E0" w:rsidP="00770D79">
      <w:pPr>
        <w:pStyle w:val="a3"/>
        <w:spacing w:after="200" w:line="6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3D7881">
        <w:rPr>
          <w:rFonts w:ascii="Times New Roman" w:eastAsia="Calibri" w:hAnsi="Times New Roman" w:cs="Times New Roman"/>
          <w:sz w:val="24"/>
          <w:szCs w:val="24"/>
        </w:rPr>
        <w:t xml:space="preserve">Магазин: </w:t>
      </w:r>
      <w:r w:rsidRPr="00EC0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695A" w:rsidRPr="00EC0ECA">
        <w:rPr>
          <w:rFonts w:ascii="Times New Roman" w:hAnsi="Times New Roman" w:cs="Times New Roman"/>
          <w:sz w:val="24"/>
          <w:szCs w:val="24"/>
        </w:rPr>
        <w:t>Шайхаттаровой</w:t>
      </w:r>
      <w:proofErr w:type="spellEnd"/>
      <w:r w:rsidR="00FC695A" w:rsidRPr="00EC0ECA">
        <w:rPr>
          <w:rFonts w:ascii="Times New Roman" w:hAnsi="Times New Roman" w:cs="Times New Roman"/>
          <w:sz w:val="24"/>
          <w:szCs w:val="24"/>
        </w:rPr>
        <w:t xml:space="preserve"> Г.М</w:t>
      </w:r>
      <w:r w:rsidR="00EC0ECA">
        <w:rPr>
          <w:rFonts w:ascii="Times New Roman" w:hAnsi="Times New Roman" w:cs="Times New Roman"/>
          <w:sz w:val="24"/>
          <w:szCs w:val="24"/>
        </w:rPr>
        <w:t>.</w:t>
      </w:r>
      <w:r w:rsidR="00FC695A" w:rsidRPr="00EC0ECA">
        <w:rPr>
          <w:rFonts w:ascii="Times New Roman" w:hAnsi="Times New Roman" w:cs="Times New Roman"/>
          <w:sz w:val="24"/>
          <w:szCs w:val="24"/>
        </w:rPr>
        <w:t xml:space="preserve"> –</w:t>
      </w:r>
      <w:r w:rsidR="00EC0ECA">
        <w:rPr>
          <w:rFonts w:ascii="Times New Roman" w:hAnsi="Times New Roman" w:cs="Times New Roman"/>
          <w:sz w:val="24"/>
          <w:szCs w:val="24"/>
        </w:rPr>
        <w:t xml:space="preserve"> </w:t>
      </w:r>
      <w:r w:rsidR="00FC695A" w:rsidRPr="00EC0ECA">
        <w:rPr>
          <w:rFonts w:ascii="Times New Roman" w:hAnsi="Times New Roman" w:cs="Times New Roman"/>
          <w:sz w:val="24"/>
          <w:szCs w:val="24"/>
        </w:rPr>
        <w:t xml:space="preserve">магазин «Марат», магазин </w:t>
      </w:r>
      <w:proofErr w:type="spellStart"/>
      <w:r w:rsidR="00FC695A" w:rsidRPr="00EC0ECA">
        <w:rPr>
          <w:rFonts w:ascii="Times New Roman" w:hAnsi="Times New Roman" w:cs="Times New Roman"/>
          <w:sz w:val="24"/>
          <w:szCs w:val="24"/>
        </w:rPr>
        <w:t>Аббазова</w:t>
      </w:r>
      <w:proofErr w:type="spellEnd"/>
      <w:r w:rsidR="00FC695A" w:rsidRPr="00EC0ECA">
        <w:rPr>
          <w:rFonts w:ascii="Times New Roman" w:hAnsi="Times New Roman" w:cs="Times New Roman"/>
          <w:sz w:val="24"/>
          <w:szCs w:val="24"/>
        </w:rPr>
        <w:t xml:space="preserve"> М.Р</w:t>
      </w:r>
      <w:r w:rsidR="00FC695A" w:rsidRPr="00EC0E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FC695A" w:rsidRPr="00EC0ECA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FC695A" w:rsidRPr="00EC0E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</w:t>
      </w:r>
      <w:r w:rsidR="00FC695A" w:rsidRPr="00EC0ECA">
        <w:rPr>
          <w:rFonts w:ascii="Times New Roman" w:hAnsi="Times New Roman" w:cs="Times New Roman"/>
          <w:sz w:val="24"/>
          <w:szCs w:val="24"/>
        </w:rPr>
        <w:t xml:space="preserve">агазин </w:t>
      </w:r>
      <w:proofErr w:type="spellStart"/>
      <w:r w:rsidR="00FC695A" w:rsidRPr="00EC0ECA">
        <w:rPr>
          <w:rFonts w:ascii="Times New Roman" w:hAnsi="Times New Roman" w:cs="Times New Roman"/>
          <w:sz w:val="24"/>
          <w:szCs w:val="24"/>
        </w:rPr>
        <w:t>Низамова</w:t>
      </w:r>
      <w:proofErr w:type="spellEnd"/>
      <w:r w:rsidR="00FC695A" w:rsidRPr="00EC0ECA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4C11E0" w:rsidRPr="00432756" w:rsidRDefault="004C11E0" w:rsidP="004C11E0">
      <w:pPr>
        <w:spacing w:after="200" w:line="6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2756">
        <w:rPr>
          <w:rFonts w:ascii="Times New Roman" w:eastAsia="Calibri" w:hAnsi="Times New Roman" w:cs="Times New Roman"/>
          <w:b/>
          <w:sz w:val="24"/>
          <w:szCs w:val="24"/>
          <w:u w:val="single"/>
        </w:rPr>
        <w:t>1.3.Прогнозируемый спрос на услуги социальной инфраструктуры.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По мере развития рыночной экономики значение социальной сферы постоянно растет. Социальная инфраструктура-совокупность объектов, деятельность которых направлена на удовлетворение личных потребностей, обеспечение жизнедеятельности и интеллектуального развития населения, это совокупность отраслей национального хозяйства, создающая социальные блага в виде услуг образования, здравоохранения, культуры, туризма и </w:t>
      </w:r>
      <w:proofErr w:type="spellStart"/>
      <w:r w:rsidRPr="00432756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432756">
        <w:rPr>
          <w:rFonts w:ascii="Times New Roman" w:eastAsia="Calibri" w:hAnsi="Times New Roman" w:cs="Times New Roman"/>
          <w:sz w:val="24"/>
          <w:szCs w:val="24"/>
        </w:rPr>
        <w:t>. Отрасли социальной сферы приобретают все большее значение в развитии общественного производства. Они оказывают непосредственное влияние на уровень благосостояния, качество жизни населения.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>Прогнозирование и планирование развития образования.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 xml:space="preserve">Важное место среди отраслей социальной сферы занимает образование. Главное условие успешного функционирования общеобразовательной школы – это поддержание в надлежащем состоянии ее материально-технической базы. Общеобразовательные школы </w:t>
      </w:r>
      <w:r w:rsidRPr="00432756">
        <w:rPr>
          <w:rFonts w:ascii="Times New Roman" w:eastAsia="Calibri" w:hAnsi="Times New Roman" w:cs="Times New Roman"/>
          <w:sz w:val="24"/>
          <w:szCs w:val="24"/>
        </w:rPr>
        <w:lastRenderedPageBreak/>
        <w:t>должны быть оснащены современными техническими средствами, укомплектованы учебниками и наглядными пособиями.</w:t>
      </w:r>
    </w:p>
    <w:p w:rsidR="004C11E0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7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8"/>
        <w:gridCol w:w="1620"/>
        <w:gridCol w:w="1952"/>
        <w:gridCol w:w="2127"/>
      </w:tblGrid>
      <w:tr w:rsidR="003D7881" w:rsidRPr="003D7881" w:rsidTr="003D7881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Прогнозируемый</w:t>
            </w:r>
          </w:p>
        </w:tc>
      </w:tr>
      <w:tr w:rsidR="003D7881" w:rsidRPr="003D7881" w:rsidTr="003D7881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детей в возрасте 1-6 лет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CD65D9" w:rsidRDefault="003D7881" w:rsidP="00FE5438">
            <w:r w:rsidRPr="00CD65D9">
              <w:t>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Default="003D7881" w:rsidP="00FE5438">
            <w:r w:rsidRPr="00CD65D9">
              <w:t>5</w:t>
            </w:r>
          </w:p>
        </w:tc>
      </w:tr>
      <w:tr w:rsidR="003D7881" w:rsidRPr="003D7881" w:rsidTr="003D7881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Посещают детский сад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65380D" w:rsidRDefault="003D7881" w:rsidP="00E771B7">
            <w:r w:rsidRPr="0065380D"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65380D" w:rsidRDefault="003D7881" w:rsidP="00E771B7">
            <w:r w:rsidRPr="0065380D">
              <w:t>5</w:t>
            </w:r>
          </w:p>
        </w:tc>
      </w:tr>
      <w:tr w:rsidR="003D7881" w:rsidRPr="003D7881" w:rsidTr="003D7881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групп в детском саду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65380D" w:rsidRDefault="003D7881" w:rsidP="00E771B7">
            <w:r w:rsidRPr="0065380D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65380D" w:rsidRDefault="003D7881" w:rsidP="00E771B7">
            <w:r w:rsidRPr="0065380D">
              <w:t>0</w:t>
            </w:r>
          </w:p>
        </w:tc>
      </w:tr>
      <w:tr w:rsidR="003D7881" w:rsidRPr="003D7881" w:rsidTr="003D7881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детей в возрасте 7-17 лет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65380D" w:rsidRDefault="003D7881" w:rsidP="00E771B7">
            <w:r w:rsidRPr="0065380D">
              <w:t>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65380D" w:rsidRDefault="003D7881" w:rsidP="00E771B7">
            <w:r w:rsidRPr="0065380D">
              <w:t>6</w:t>
            </w:r>
          </w:p>
        </w:tc>
      </w:tr>
      <w:tr w:rsidR="003D7881" w:rsidRPr="003D7881" w:rsidTr="003D7881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Охват</w:t>
            </w:r>
            <w:proofErr w:type="spellEnd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дополнительным</w:t>
            </w:r>
            <w:proofErr w:type="spellEnd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образованием</w:t>
            </w:r>
            <w:proofErr w:type="spellEnd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детей</w:t>
            </w:r>
            <w:proofErr w:type="spellEnd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возрасте</w:t>
            </w:r>
            <w:proofErr w:type="spellEnd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5 </w:t>
            </w:r>
            <w:proofErr w:type="spellStart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</w:t>
            </w:r>
            <w:proofErr w:type="spellEnd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18 </w:t>
            </w:r>
            <w:proofErr w:type="spellStart"/>
            <w:r w:rsidRPr="003D788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лет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65380D" w:rsidRDefault="003D7881" w:rsidP="00E771B7">
            <w:r w:rsidRPr="0065380D">
              <w:t>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Default="003D7881" w:rsidP="00E771B7">
            <w:r>
              <w:t>100</w:t>
            </w:r>
          </w:p>
        </w:tc>
      </w:tr>
    </w:tbl>
    <w:p w:rsidR="003D7881" w:rsidRDefault="003D7881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7881" w:rsidRPr="00432756" w:rsidRDefault="003D7881" w:rsidP="003D7881">
      <w:pPr>
        <w:spacing w:after="200" w:line="6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1E0" w:rsidRPr="003D7881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881">
        <w:rPr>
          <w:rFonts w:ascii="Times New Roman" w:eastAsia="Calibri" w:hAnsi="Times New Roman" w:cs="Times New Roman"/>
          <w:sz w:val="24"/>
          <w:szCs w:val="24"/>
        </w:rPr>
        <w:t>Прогнозирование и планирование развития здравоохранения.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>Здравоохранение способствует улучшению здоровья населения, росту продолжительности жизни. Благодаря расширению систем здравоохранения, использованию современного медицинского оборудования, удается улучшить качество медицинского обслуживания, добиться уменьшения заболеваемости. Первоочередными задачами здравоохранения являются: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>- гарантированное обеспечение установленного объема медицинской помощи и профилактическими услугами в учреждениях здравоохранения;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>-первоочередная реконструкция действующих учреждений и строительство новых;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>- обеспечение квалифицированными специалистами.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7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7"/>
        <w:gridCol w:w="2445"/>
        <w:gridCol w:w="1818"/>
        <w:gridCol w:w="2127"/>
      </w:tblGrid>
      <w:tr w:rsidR="003D7881" w:rsidRPr="00432756" w:rsidTr="003D7881">
        <w:trPr>
          <w:trHeight w:val="4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Прогнозируемый</w:t>
            </w:r>
          </w:p>
        </w:tc>
      </w:tr>
      <w:tr w:rsidR="003D7881" w:rsidRPr="00432756" w:rsidTr="003D7881">
        <w:trPr>
          <w:trHeight w:val="5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фельдшерско-акушерские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пункты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736615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2/1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736615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736615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</w:tbl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56">
        <w:rPr>
          <w:rFonts w:ascii="Times New Roman" w:eastAsia="Calibri" w:hAnsi="Times New Roman" w:cs="Times New Roman"/>
          <w:sz w:val="24"/>
          <w:szCs w:val="24"/>
        </w:rPr>
        <w:t>Прогнозирование развития учреждений культуры и спорта.</w:t>
      </w: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756">
        <w:rPr>
          <w:rFonts w:ascii="Times New Roman" w:eastAsia="Calibri" w:hAnsi="Times New Roman" w:cs="Times New Roman"/>
          <w:sz w:val="24"/>
          <w:szCs w:val="24"/>
        </w:rPr>
        <w:t>Основными задачами в сфере культуры являются: сохранение действующей сети учреждений; наращивание творческого потенциала профессиональных и самодеятельных коллективов; сохранение и развитие народного художественного творчества, народных промыслов и традиционной культуры; расширение экспозиционно-выставочных работ и научно-просветительской базы отрасли, повышение уровня и качества услуг, предоставляемых учреждениями культуры и искусства, и обеспечение их доступности для населения.</w:t>
      </w:r>
      <w:proofErr w:type="gramEnd"/>
    </w:p>
    <w:p w:rsidR="004C11E0" w:rsidRPr="00432756" w:rsidRDefault="004C11E0" w:rsidP="004C11E0">
      <w:pPr>
        <w:spacing w:after="200" w:line="60" w:lineRule="atLeast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0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1965"/>
        <w:gridCol w:w="30"/>
        <w:gridCol w:w="1845"/>
        <w:gridCol w:w="13"/>
        <w:gridCol w:w="2355"/>
        <w:gridCol w:w="55"/>
      </w:tblGrid>
      <w:tr w:rsidR="003D7881" w:rsidRPr="00432756" w:rsidTr="003D7881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7206F6">
            <w:pPr>
              <w:snapToGrid w:val="0"/>
              <w:spacing w:after="200" w:line="6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81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Прогнозируемый</w:t>
            </w:r>
          </w:p>
        </w:tc>
      </w:tr>
      <w:tr w:rsidR="003D7881" w:rsidRPr="00432756" w:rsidTr="003D7881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Обеспеченность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 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432756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432756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3D7881" w:rsidRPr="00432756" w:rsidTr="003D7881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общедоступными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библиотеками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3D7881" w:rsidRPr="00432756" w:rsidTr="003D7881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учреждениями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культурно-досугового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типа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3D7881" w:rsidRPr="00432756" w:rsidTr="003D7881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Количество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посещений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социокультурных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мероприятий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посещений</w:t>
            </w:r>
            <w:proofErr w:type="spellEnd"/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9E4EDF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3D7881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40</w:t>
            </w:r>
          </w:p>
        </w:tc>
        <w:tc>
          <w:tcPr>
            <w:tcW w:w="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81" w:rsidRPr="00432756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3D7881" w:rsidRPr="00432756" w:rsidTr="003D7881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Количество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спортивных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сооружений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566B94" w:rsidRDefault="003D7881" w:rsidP="00D13537">
            <w:proofErr w:type="spellStart"/>
            <w:proofErr w:type="gramStart"/>
            <w:r w:rsidRPr="00566B94">
              <w:t>шт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D7881" w:rsidRPr="003D7881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D7881" w:rsidRPr="003D7881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D7881" w:rsidRPr="00432756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3D7881" w:rsidRPr="00432756" w:rsidTr="003D7881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Pr="00432756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Доля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граждан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систематически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занимающихся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физической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культурой</w:t>
            </w:r>
            <w:proofErr w:type="spellEnd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3275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спортом</w:t>
            </w:r>
            <w:proofErr w:type="spellEnd"/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881" w:rsidRDefault="003D7881" w:rsidP="00D13537">
            <w:r w:rsidRPr="00566B94">
              <w:t>%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D7881" w:rsidRPr="003D7881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42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D7881" w:rsidRPr="003D7881" w:rsidRDefault="003D7881" w:rsidP="00874763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55</w:t>
            </w:r>
          </w:p>
        </w:tc>
        <w:tc>
          <w:tcPr>
            <w:tcW w:w="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D7881" w:rsidRPr="00432756" w:rsidRDefault="003D7881" w:rsidP="003D7881">
            <w:pPr>
              <w:widowControl w:val="0"/>
              <w:suppressAutoHyphens/>
              <w:autoSpaceDN w:val="0"/>
              <w:snapToGrid w:val="0"/>
              <w:spacing w:after="20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4C11E0" w:rsidRPr="00432756" w:rsidRDefault="004C11E0" w:rsidP="004C11E0">
      <w:pPr>
        <w:spacing w:after="200" w:line="60" w:lineRule="atLeast"/>
        <w:ind w:firstLine="851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</w:p>
    <w:p w:rsidR="004C11E0" w:rsidRPr="001F465E" w:rsidRDefault="004C11E0" w:rsidP="004C11E0">
      <w:pPr>
        <w:spacing w:after="200" w:line="6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F465E">
        <w:rPr>
          <w:rFonts w:ascii="Times New Roman" w:eastAsia="Calibri" w:hAnsi="Times New Roman" w:cs="Times New Roman"/>
          <w:b/>
          <w:sz w:val="24"/>
          <w:szCs w:val="24"/>
          <w:u w:val="single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4C11E0" w:rsidRPr="00432756" w:rsidRDefault="004C11E0" w:rsidP="004C11E0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Социальная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-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это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сложный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комплекс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включающий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хозяйственно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обустроенную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различных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видов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общественной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жизни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людей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территорию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сферу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составе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предоставления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институционально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обеспеченную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систему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функционированием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ориентированной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безопасную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жизнедеятельность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4C11E0" w:rsidRPr="00432756" w:rsidRDefault="004C11E0" w:rsidP="004C11E0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зависит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устанавливаемых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правил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градостроительства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активности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граждан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процессе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hyperlink r:id="rId6" w:history="1">
        <w:proofErr w:type="spellStart"/>
        <w:r w:rsidRPr="00CF0F3B">
          <w:rPr>
            <w:rStyle w:val="a6"/>
            <w:rFonts w:ascii="Times New Roman" w:eastAsia="Andale Sans UI" w:hAnsi="Times New Roman" w:cs="Times New Roman"/>
            <w:color w:val="auto"/>
            <w:kern w:val="3"/>
            <w:sz w:val="24"/>
            <w:szCs w:val="24"/>
            <w:lang w:val="de-DE" w:eastAsia="ja-JP" w:bidi="fa-IR"/>
          </w:rPr>
          <w:t>публичных</w:t>
        </w:r>
        <w:proofErr w:type="spellEnd"/>
        <w:r w:rsidRPr="00CF0F3B">
          <w:rPr>
            <w:rStyle w:val="a6"/>
            <w:rFonts w:ascii="Times New Roman" w:eastAsia="Andale Sans UI" w:hAnsi="Times New Roman" w:cs="Times New Roman"/>
            <w:color w:val="auto"/>
            <w:kern w:val="3"/>
            <w:sz w:val="24"/>
            <w:szCs w:val="24"/>
            <w:lang w:val="de-DE" w:eastAsia="ja-JP" w:bidi="fa-IR"/>
          </w:rPr>
          <w:t xml:space="preserve"> </w:t>
        </w:r>
        <w:proofErr w:type="spellStart"/>
        <w:r w:rsidRPr="00CF0F3B">
          <w:rPr>
            <w:rStyle w:val="a6"/>
            <w:rFonts w:ascii="Times New Roman" w:eastAsia="Andale Sans UI" w:hAnsi="Times New Roman" w:cs="Times New Roman"/>
            <w:color w:val="auto"/>
            <w:kern w:val="3"/>
            <w:sz w:val="24"/>
            <w:szCs w:val="24"/>
            <w:lang w:val="de-DE" w:eastAsia="ja-JP" w:bidi="fa-IR"/>
          </w:rPr>
          <w:t>слушаний</w:t>
        </w:r>
        <w:proofErr w:type="spellEnd"/>
      </w:hyperlink>
      <w:r w:rsidRPr="00CF0F3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F0F3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</w:t>
      </w:r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принятии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ОМСУ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или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по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обустройству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Приоритетными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направлениями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элементов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соответственно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полномочиям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ОМСУ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или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типа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являются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объектов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сферы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улично-дорожной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информационного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объективизации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принимаемых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управленческих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4C11E0" w:rsidRPr="00432756" w:rsidRDefault="004C11E0" w:rsidP="004C11E0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ОМСУ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должны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поощрять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инициативы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по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развитию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исходящие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уполномоченных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организаций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отраслей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предпринимателей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занимающихся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деятельностью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в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числе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путем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формирования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заказа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включая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разнообразные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механизмы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целевые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выделение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земли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строительство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льготы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по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аренде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помещений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др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Частно-государственное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партнерство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области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пока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получило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поддержки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стороны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бизнеса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общества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4C11E0" w:rsidRPr="00432756" w:rsidRDefault="004C11E0" w:rsidP="004C11E0">
      <w:pPr>
        <w:pStyle w:val="1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75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32756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инфраструктуры, реализация которых предусмотрена по иным основаниям за счет внебюджетных источников.</w:t>
      </w:r>
    </w:p>
    <w:p w:rsidR="004C11E0" w:rsidRPr="00432756" w:rsidRDefault="004C11E0" w:rsidP="004C11E0">
      <w:pPr>
        <w:pStyle w:val="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Существенными источниками инвестиций могут стать частные сбережения, средства профсоюзных и общественных организаций, направляемых на культурное и бытовое обслуживание населения, благотворительные фонды и спонсорство.</w:t>
      </w:r>
    </w:p>
    <w:p w:rsidR="004C11E0" w:rsidRPr="00432756" w:rsidRDefault="004C11E0" w:rsidP="004C11E0">
      <w:pPr>
        <w:spacing w:after="200" w:line="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A6C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43275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3.Оценка объемов и источников финансирования</w:t>
      </w:r>
    </w:p>
    <w:p w:rsidR="004C11E0" w:rsidRPr="00432756" w:rsidRDefault="004C11E0" w:rsidP="004C11E0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C11E0" w:rsidRPr="00432756" w:rsidRDefault="004C11E0" w:rsidP="004C11E0">
      <w:pPr>
        <w:pStyle w:val="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Финансирование предусмотренных программных мероприятий планируется за счет субсидий Республиканского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Дрожжановскому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 xml:space="preserve">муниципальному району  в размере 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432756">
        <w:rPr>
          <w:rFonts w:ascii="Times New Roman" w:hAnsi="Times New Roman" w:cs="Times New Roman"/>
          <w:sz w:val="24"/>
          <w:szCs w:val="24"/>
        </w:rPr>
        <w:t xml:space="preserve"> % от суммы общего финансирования.</w:t>
      </w:r>
    </w:p>
    <w:p w:rsidR="004C11E0" w:rsidRDefault="004C11E0" w:rsidP="004C1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Реализация мероприятий Прог</w:t>
      </w:r>
      <w:r>
        <w:rPr>
          <w:rFonts w:ascii="Times New Roman" w:hAnsi="Times New Roman" w:cs="Times New Roman"/>
          <w:sz w:val="24"/>
          <w:szCs w:val="24"/>
        </w:rPr>
        <w:t xml:space="preserve">раммы за счет средств </w:t>
      </w:r>
      <w:r w:rsidRPr="00432756">
        <w:rPr>
          <w:rFonts w:ascii="Times New Roman" w:hAnsi="Times New Roman" w:cs="Times New Roman"/>
          <w:sz w:val="24"/>
          <w:szCs w:val="24"/>
        </w:rPr>
        <w:t>Республиканского бюджета осуществляется в рамках ассигнований, предусматриваемых законом о бюджете на очередной финансовый год и плановый период по соответствующим отраслям.</w:t>
      </w:r>
    </w:p>
    <w:p w:rsidR="004C11E0" w:rsidRDefault="004C11E0" w:rsidP="004C1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F3B" w:rsidRDefault="00CF0F3B" w:rsidP="004C1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2484" w:rsidRDefault="00DA2484" w:rsidP="004C1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2484" w:rsidRPr="00432756" w:rsidRDefault="00DA2484" w:rsidP="004C1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1E0" w:rsidRDefault="004C11E0" w:rsidP="004C11E0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7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Таблица №1 Целевые показатели Программы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C11E0" w:rsidRPr="00432756" w:rsidRDefault="004C11E0" w:rsidP="004C11E0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2936"/>
        <w:gridCol w:w="825"/>
        <w:gridCol w:w="1134"/>
        <w:gridCol w:w="708"/>
        <w:gridCol w:w="709"/>
        <w:gridCol w:w="709"/>
        <w:gridCol w:w="709"/>
        <w:gridCol w:w="708"/>
        <w:gridCol w:w="1425"/>
      </w:tblGrid>
      <w:tr w:rsidR="004C11E0" w:rsidRPr="00432756" w:rsidTr="00874763">
        <w:trPr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целевых показателей программы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ind w:left="-108" w:right="-1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 по годам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4C11E0" w:rsidRPr="00432756" w:rsidTr="00874763">
        <w:trPr>
          <w:trHeight w:val="127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9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CF0F3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ДОУ в </w:t>
            </w:r>
            <w:proofErr w:type="gramStart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F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Старые </w:t>
            </w:r>
            <w:proofErr w:type="spellStart"/>
            <w:r w:rsidR="00CF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Чукалы</w:t>
            </w:r>
            <w:proofErr w:type="spellEnd"/>
            <w:r w:rsidR="00CF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E03118" w:rsidRDefault="00E03118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блочных магазинов </w:t>
            </w: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8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ФАПа</w:t>
            </w:r>
            <w:proofErr w:type="spellEnd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CF0F3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сельского клуба в с. </w:t>
            </w:r>
            <w:r w:rsidR="00EC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Старые </w:t>
            </w:r>
            <w:proofErr w:type="spellStart"/>
            <w:r w:rsidR="00EC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площадью </w:t>
            </w:r>
            <w:r w:rsidR="00EC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414,2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_</w:t>
            </w:r>
            <w:r w:rsidR="00CF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пос.мест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E03118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E03118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Default="004C11E0" w:rsidP="00874763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спортивного зала</w:t>
            </w: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_____, площадью  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E0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10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Default="004C11E0" w:rsidP="00874763">
            <w:pPr>
              <w:spacing w:after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</w:t>
            </w:r>
            <w:r w:rsidR="009E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рсальной спортивной площадки в </w:t>
            </w:r>
            <w:proofErr w:type="gramStart"/>
            <w:r w:rsidR="009E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9E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Старые </w:t>
            </w:r>
            <w:proofErr w:type="spellStart"/>
            <w:r w:rsidR="009E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Чукалы</w:t>
            </w:r>
            <w:proofErr w:type="spellEnd"/>
          </w:p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E0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E03118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E03118" w:rsidRDefault="004C11E0" w:rsidP="00874763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11E0" w:rsidRPr="00432756" w:rsidRDefault="004C11E0" w:rsidP="004C11E0">
      <w:pPr>
        <w:spacing w:after="0" w:line="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C11E0" w:rsidRPr="00432756" w:rsidRDefault="004C11E0" w:rsidP="004C11E0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C11E0" w:rsidRPr="00432756" w:rsidRDefault="004C11E0" w:rsidP="004C11E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756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 ПРОГРАММЫ</w:t>
      </w:r>
    </w:p>
    <w:p w:rsidR="004C11E0" w:rsidRPr="00CF0F3B" w:rsidRDefault="004C11E0" w:rsidP="00CF0F3B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32756">
        <w:rPr>
          <w:rFonts w:ascii="Times New Roman" w:hAnsi="Times New Roman" w:cs="Times New Roman"/>
          <w:sz w:val="24"/>
          <w:szCs w:val="24"/>
        </w:rPr>
        <w:t>Таблица  - Мероприятия Программы (оценка финансовых потребностей и источники финансирования)</w:t>
      </w:r>
      <w:r w:rsidRPr="004327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021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1418"/>
        <w:gridCol w:w="1276"/>
        <w:gridCol w:w="803"/>
        <w:gridCol w:w="850"/>
        <w:gridCol w:w="709"/>
        <w:gridCol w:w="709"/>
        <w:gridCol w:w="708"/>
        <w:gridCol w:w="886"/>
      </w:tblGrid>
      <w:tr w:rsidR="004C11E0" w:rsidRPr="00432756" w:rsidTr="00874763">
        <w:trPr>
          <w:trHeight w:val="315"/>
          <w:tblHeader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финансиро</w:t>
            </w:r>
            <w:proofErr w:type="spellEnd"/>
            <w:r w:rsidRPr="0043275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выполнения, тыс. руб.</w:t>
            </w: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потребности на  реализацию мероприятий, </w:t>
            </w:r>
            <w:proofErr w:type="spellStart"/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1E0" w:rsidRPr="00432756" w:rsidTr="00874763">
        <w:trPr>
          <w:trHeight w:val="315"/>
          <w:tblHeader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2022-2035</w:t>
            </w:r>
          </w:p>
        </w:tc>
      </w:tr>
      <w:tr w:rsidR="004C11E0" w:rsidRPr="00432756" w:rsidTr="00874763">
        <w:trPr>
          <w:trHeight w:val="93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ДОУ </w:t>
            </w:r>
            <w:proofErr w:type="gramStart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2E646F" w:rsidRDefault="004C11E0" w:rsidP="00874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93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-модульного магазина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r w:rsidRPr="0043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2E646F" w:rsidRDefault="004C11E0" w:rsidP="00874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93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Консолидированный </w:t>
            </w:r>
            <w:r w:rsidRPr="00432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93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E0" w:rsidRPr="00432756" w:rsidTr="00874763">
        <w:trPr>
          <w:trHeight w:val="93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56"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E0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Pr="00432756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1E0" w:rsidRDefault="004C11E0" w:rsidP="008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1E0" w:rsidRPr="00432756" w:rsidRDefault="004C11E0" w:rsidP="004C11E0">
      <w:pPr>
        <w:spacing w:after="200" w:line="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C11E0" w:rsidRPr="00432756" w:rsidRDefault="004C11E0" w:rsidP="004C11E0">
      <w:pPr>
        <w:spacing w:after="200" w:line="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F46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</w:t>
      </w:r>
      <w:r w:rsidRPr="0043275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4.Оценка эффективности мероприятий Программы.</w:t>
      </w:r>
    </w:p>
    <w:p w:rsidR="004C11E0" w:rsidRPr="00432756" w:rsidRDefault="004C11E0" w:rsidP="004C11E0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C11E0" w:rsidRPr="00432756" w:rsidRDefault="004C11E0" w:rsidP="004C11E0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предусматривает выполнение комплекса мероприятий, которые обеспечат положительный эффект в развитии социальной инфраструктуры Поселения. При развитой социальной инфраструктуре муниципальное образование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432756">
        <w:rPr>
          <w:rFonts w:ascii="Times New Roman" w:hAnsi="Times New Roman" w:cs="Times New Roman"/>
          <w:sz w:val="24"/>
          <w:szCs w:val="24"/>
        </w:rPr>
        <w:t xml:space="preserve"> привлекатель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432756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432756">
        <w:rPr>
          <w:rFonts w:ascii="Times New Roman" w:hAnsi="Times New Roman" w:cs="Times New Roman"/>
          <w:sz w:val="24"/>
          <w:szCs w:val="24"/>
        </w:rPr>
        <w:t>бизнеса. В этом случае реализация предлагаемой программы определяет наличие основных положительных эффектов: бюджетного, коммерческого, социального.</w:t>
      </w:r>
    </w:p>
    <w:p w:rsidR="004C11E0" w:rsidRPr="00432756" w:rsidRDefault="004C11E0" w:rsidP="004C11E0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Коммерческий эффект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>- развитие малого и среднего бизнеса, развитие деловой инфраструктуры, повышение делового имиджа.</w:t>
      </w:r>
    </w:p>
    <w:p w:rsidR="004C11E0" w:rsidRPr="00432756" w:rsidRDefault="004C11E0" w:rsidP="004C11E0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Бюджетный эффект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>- развитие предприятий приведет к увеличению бюджетных поступлений.</w:t>
      </w:r>
    </w:p>
    <w:p w:rsidR="004C11E0" w:rsidRPr="00432756" w:rsidRDefault="004C11E0" w:rsidP="004C11E0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Социальный эффект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>создание новых рабочих мест, увеличение жилищного фонда, повышение качества коммунальных услуг.</w:t>
      </w:r>
    </w:p>
    <w:p w:rsidR="004C11E0" w:rsidRPr="00432756" w:rsidRDefault="004C11E0" w:rsidP="004C11E0">
      <w:pPr>
        <w:spacing w:after="200" w:line="60" w:lineRule="atLeast"/>
        <w:ind w:firstLine="12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1E0" w:rsidRPr="00432756" w:rsidRDefault="004C11E0" w:rsidP="004C11E0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3275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5.Предложения по совершенствованию нормативно-правового и информационного обеспечения деятельности в сфере проектирования, строительства и реконструкции объектов социальной инфраструктуры поселения.</w:t>
      </w:r>
    </w:p>
    <w:p w:rsidR="004C11E0" w:rsidRPr="00432756" w:rsidRDefault="004C11E0" w:rsidP="004C11E0">
      <w:pPr>
        <w:spacing w:after="200" w:line="60" w:lineRule="atLeast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C11E0" w:rsidRPr="00432756" w:rsidRDefault="004C11E0" w:rsidP="004C11E0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432756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 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комплексного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____________</w:t>
      </w:r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сельского</w:t>
      </w:r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2017-20</w:t>
      </w:r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35</w:t>
      </w:r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гг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 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представлена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виде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совокупности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конкретных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ожидаемых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результатов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сгруппированных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по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обозначенным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выше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системным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признакам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направленных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достижение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социально-экономических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эффективного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использования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имеющихся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ресурсов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потенциала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Переход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управлению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сельским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поселением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интересы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благосостояния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интересы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стабильности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наполненные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конкретным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содержанием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выраженные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 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обеспечить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социально-экономическое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как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отдельных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сел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целом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4C11E0" w:rsidRPr="00432756" w:rsidRDefault="004C11E0" w:rsidP="004C11E0">
      <w:pPr>
        <w:widowControl w:val="0"/>
        <w:suppressAutoHyphens/>
        <w:autoSpaceDN w:val="0"/>
        <w:spacing w:after="0" w:line="240" w:lineRule="auto"/>
        <w:ind w:firstLine="540"/>
        <w:jc w:val="both"/>
        <w:rPr>
          <w:sz w:val="24"/>
          <w:szCs w:val="24"/>
          <w:lang w:val="de-DE"/>
        </w:rPr>
      </w:pP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Разработка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принятие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среднесрочной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закрепить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приоритеты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финансовой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инвестиционной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политики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определить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последовательность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сроки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накопившихся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многие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проблем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А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целевые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установки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создаваемые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её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механизмы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закрепляющие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»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оселения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позволят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значительно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повысить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деловую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активность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управленческих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предпринимательских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кадров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создать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необходимые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активизации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хозяйственной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его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43275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D961C9" w:rsidRPr="004C11E0" w:rsidRDefault="00D961C9">
      <w:pPr>
        <w:rPr>
          <w:lang w:val="de-DE"/>
        </w:rPr>
      </w:pPr>
    </w:p>
    <w:sectPr w:rsidR="00D961C9" w:rsidRPr="004C11E0" w:rsidSect="00C5061E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613A2F64"/>
    <w:multiLevelType w:val="hybridMultilevel"/>
    <w:tmpl w:val="4E2A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35"/>
    <w:rsid w:val="00313B28"/>
    <w:rsid w:val="003D7881"/>
    <w:rsid w:val="004C11E0"/>
    <w:rsid w:val="00580D38"/>
    <w:rsid w:val="00591977"/>
    <w:rsid w:val="00603435"/>
    <w:rsid w:val="00707271"/>
    <w:rsid w:val="00736615"/>
    <w:rsid w:val="00770D79"/>
    <w:rsid w:val="009C6343"/>
    <w:rsid w:val="009E4EDF"/>
    <w:rsid w:val="00CF0F3B"/>
    <w:rsid w:val="00D961C9"/>
    <w:rsid w:val="00DA2484"/>
    <w:rsid w:val="00E03118"/>
    <w:rsid w:val="00E463AD"/>
    <w:rsid w:val="00EC0ECA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1E0"/>
    <w:pPr>
      <w:ind w:left="720"/>
      <w:contextualSpacing/>
    </w:pPr>
  </w:style>
  <w:style w:type="paragraph" w:customStyle="1" w:styleId="1">
    <w:name w:val="Абзац списка1"/>
    <w:basedOn w:val="a"/>
    <w:semiHidden/>
    <w:rsid w:val="004C11E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Основной"/>
    <w:basedOn w:val="a5"/>
    <w:rsid w:val="004C11E0"/>
  </w:style>
  <w:style w:type="paragraph" w:customStyle="1" w:styleId="2">
    <w:name w:val="Абзац списка2"/>
    <w:basedOn w:val="a"/>
    <w:semiHidden/>
    <w:rsid w:val="004C11E0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6">
    <w:name w:val="Hyperlink"/>
    <w:basedOn w:val="a0"/>
    <w:uiPriority w:val="99"/>
    <w:semiHidden/>
    <w:unhideWhenUsed/>
    <w:rsid w:val="004C11E0"/>
    <w:rPr>
      <w:color w:val="0000FF"/>
      <w:u w:val="single"/>
    </w:rPr>
  </w:style>
  <w:style w:type="numbering" w:customStyle="1" w:styleId="WW8Num1">
    <w:name w:val="WW8Num1"/>
    <w:rsid w:val="004C11E0"/>
    <w:pPr>
      <w:numPr>
        <w:numId w:val="1"/>
      </w:numPr>
    </w:pPr>
  </w:style>
  <w:style w:type="paragraph" w:styleId="a5">
    <w:name w:val="Body Text Indent"/>
    <w:basedOn w:val="a"/>
    <w:link w:val="a7"/>
    <w:uiPriority w:val="99"/>
    <w:semiHidden/>
    <w:unhideWhenUsed/>
    <w:rsid w:val="004C11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5"/>
    <w:uiPriority w:val="99"/>
    <w:semiHidden/>
    <w:rsid w:val="004C11E0"/>
  </w:style>
  <w:style w:type="paragraph" w:styleId="a8">
    <w:name w:val="Balloon Text"/>
    <w:basedOn w:val="a"/>
    <w:link w:val="a9"/>
    <w:uiPriority w:val="99"/>
    <w:semiHidden/>
    <w:unhideWhenUsed/>
    <w:rsid w:val="00DA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2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1E0"/>
    <w:pPr>
      <w:ind w:left="720"/>
      <w:contextualSpacing/>
    </w:pPr>
  </w:style>
  <w:style w:type="paragraph" w:customStyle="1" w:styleId="1">
    <w:name w:val="Абзац списка1"/>
    <w:basedOn w:val="a"/>
    <w:semiHidden/>
    <w:rsid w:val="004C11E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Основной"/>
    <w:basedOn w:val="a5"/>
    <w:rsid w:val="004C11E0"/>
  </w:style>
  <w:style w:type="paragraph" w:customStyle="1" w:styleId="2">
    <w:name w:val="Абзац списка2"/>
    <w:basedOn w:val="a"/>
    <w:semiHidden/>
    <w:rsid w:val="004C11E0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6">
    <w:name w:val="Hyperlink"/>
    <w:basedOn w:val="a0"/>
    <w:uiPriority w:val="99"/>
    <w:semiHidden/>
    <w:unhideWhenUsed/>
    <w:rsid w:val="004C11E0"/>
    <w:rPr>
      <w:color w:val="0000FF"/>
      <w:u w:val="single"/>
    </w:rPr>
  </w:style>
  <w:style w:type="numbering" w:customStyle="1" w:styleId="WW8Num1">
    <w:name w:val="WW8Num1"/>
    <w:rsid w:val="004C11E0"/>
    <w:pPr>
      <w:numPr>
        <w:numId w:val="1"/>
      </w:numPr>
    </w:pPr>
  </w:style>
  <w:style w:type="paragraph" w:styleId="a5">
    <w:name w:val="Body Text Indent"/>
    <w:basedOn w:val="a"/>
    <w:link w:val="a7"/>
    <w:uiPriority w:val="99"/>
    <w:semiHidden/>
    <w:unhideWhenUsed/>
    <w:rsid w:val="004C11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5"/>
    <w:uiPriority w:val="99"/>
    <w:semiHidden/>
    <w:rsid w:val="004C11E0"/>
  </w:style>
  <w:style w:type="paragraph" w:styleId="a8">
    <w:name w:val="Balloon Text"/>
    <w:basedOn w:val="a"/>
    <w:link w:val="a9"/>
    <w:uiPriority w:val="99"/>
    <w:semiHidden/>
    <w:unhideWhenUsed/>
    <w:rsid w:val="00DA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2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ublichnie_slush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2017-11-30T05:25:00Z</cp:lastPrinted>
  <dcterms:created xsi:type="dcterms:W3CDTF">2017-11-09T12:15:00Z</dcterms:created>
  <dcterms:modified xsi:type="dcterms:W3CDTF">2017-11-30T05:26:00Z</dcterms:modified>
</cp:coreProperties>
</file>